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hint="eastAsia" w:ascii="黑体" w:hAnsi="黑体" w:eastAsia="黑体"/>
          <w:sz w:val="32"/>
          <w:szCs w:val="32"/>
        </w:rPr>
      </w:pPr>
      <w:r>
        <w:rPr>
          <w:rFonts w:hint="eastAsia" w:ascii="黑体" w:hAnsi="黑体" w:eastAsia="黑体"/>
          <w:sz w:val="32"/>
          <w:szCs w:val="32"/>
        </w:rPr>
        <w:t>附件6-3</w:t>
      </w:r>
    </w:p>
    <w:p>
      <w:pPr>
        <w:spacing w:line="240" w:lineRule="auto"/>
        <w:ind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海淀区部门整体支出绩效自评报告</w:t>
      </w:r>
    </w:p>
    <w:p>
      <w:pPr>
        <w:spacing w:line="560" w:lineRule="exact"/>
        <w:ind w:firstLine="0" w:firstLineChars="0"/>
        <w:rPr>
          <w:rFonts w:hint="eastAsia" w:ascii="仿宋_GB2312" w:eastAsia="仿宋_GB2312"/>
          <w:sz w:val="32"/>
          <w:szCs w:val="32"/>
        </w:rPr>
      </w:pPr>
    </w:p>
    <w:p>
      <w:pPr>
        <w:pStyle w:val="2"/>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b w:val="0"/>
          <w:sz w:val="32"/>
        </w:rPr>
      </w:pPr>
      <w:r>
        <w:rPr>
          <w:rFonts w:hint="eastAsia" w:ascii="黑体" w:hAnsi="黑体" w:eastAsia="黑体"/>
          <w:b w:val="0"/>
          <w:sz w:val="32"/>
        </w:rPr>
        <w:t>一、部门基本情况</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（一）部门机构设置情况</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B0F0"/>
          <w:sz w:val="32"/>
          <w:szCs w:val="32"/>
          <w:lang w:eastAsia="zh-CN"/>
        </w:rPr>
      </w:pPr>
      <w:r>
        <w:rPr>
          <w:rFonts w:hint="eastAsia" w:ascii="仿宋_GB2312" w:hAnsi="仿宋_GB2312" w:eastAsia="仿宋_GB2312" w:cs="仿宋_GB2312"/>
          <w:sz w:val="32"/>
          <w:szCs w:val="32"/>
          <w:lang w:eastAsia="zh-CN"/>
        </w:rPr>
        <w:t>北京市海淀区红十字会是是经中共北京市海淀区委机构编制委员会办公室批准的机关法人</w:t>
      </w:r>
      <w:r>
        <w:rPr>
          <w:rFonts w:hint="eastAsia" w:ascii="仿宋_GB2312" w:hAnsi="仿宋_GB2312" w:eastAsia="仿宋_GB2312" w:cs="仿宋_GB2312"/>
          <w:color w:val="000000" w:themeColor="text1"/>
          <w:sz w:val="32"/>
          <w:szCs w:val="32"/>
          <w:lang w:eastAsia="zh-CN"/>
          <w14:textFill>
            <w14:solidFill>
              <w14:schemeClr w14:val="tx1"/>
            </w14:solidFill>
          </w14:textFill>
        </w:rPr>
        <w:t>，内设三个科室，分别为：办公室（党建工作科）、业务科和资金管理部。</w:t>
      </w:r>
    </w:p>
    <w:p>
      <w:pPr>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（二）部门职能情况</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（1）宣传、贯彻《中华人民共和国红十字会法》及其它相关条例、法规；传播国际人道法和红十字运动的基本知识。</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（2）依照国际红十字运动的基本原则，在市红十字会统一管理和指导下，开展与国（境）外红十字会、红新月会的合作与交流活动。</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（3）依据《中国红十字会章程》吸收会员、发展组织，并指导区域内街镇、机关、团体、企事业单位等基层红十字会组织开展工作。</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（4）发展红十字志愿工作者队伍，开展社区服务，为本地区的社区困难群体提供人道主义救助。</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（5）开展救灾的准备工作；在自然灾害和突发事件中，依法组织募捐，配合市红十字会、协助区政府开展赈灾救援工作。</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（6）宣传、普及卫生救护知识和防灾、防病知识，进行初级卫生救护和现场救护培训。</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（7）依法参与、推动无偿献血工作；开展造血干细胞捐献宣传、动员、组织相关工作；开展艾滋病预防宣传、健康教育等工作。开展其他人道主义服务工作。</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（8）与教育部门配合，开展红十字青少年教育活动。</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（9）协助政府监督管理红十字标志的使用。</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（10）完成区政府及北京市红十字会交办的其他事项。</w:t>
      </w:r>
    </w:p>
    <w:p>
      <w:pPr>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rPr>
      </w:pPr>
      <w:r>
        <w:rPr>
          <w:rFonts w:hint="eastAsia" w:ascii="楷体_GB2312" w:hAnsi="楷体_GB2312" w:eastAsia="楷体_GB2312" w:cs="楷体_GB2312"/>
          <w:b w:val="0"/>
          <w:bCs/>
          <w:kern w:val="2"/>
          <w:sz w:val="32"/>
          <w:szCs w:val="32"/>
          <w:lang w:val="en-US" w:eastAsia="zh-CN" w:bidi="ar-SA"/>
        </w:rPr>
        <w:t>（三）主要职能产出情况</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本部门除基本支出外，主要开展业务工作包括：募捐救助、应急救护培训、红十字知识宣传传播、造血干细胞捐献等工作，是党和政府联系群众的桥梁和纽带，服务保障平安海淀。</w:t>
      </w:r>
    </w:p>
    <w:p>
      <w:pPr>
        <w:pStyle w:val="2"/>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b w:val="0"/>
          <w:sz w:val="32"/>
        </w:rPr>
      </w:pPr>
      <w:r>
        <w:rPr>
          <w:rFonts w:hint="eastAsia" w:ascii="黑体" w:hAnsi="黑体" w:eastAsia="黑体"/>
          <w:b w:val="0"/>
          <w:sz w:val="32"/>
        </w:rPr>
        <w:t>二、部门绩效目标设置及决策情况</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（一）部门绩效目标和绩效指标设定情况</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年部门整体支出绩效目标设置重点是定性与定量相结合,突出项目资金的性质和特点，科学严谨立项、合理分配资金、规范使用管理。</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（二）部门决策情况</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1.主要决策内容</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主要围绕应急救护培训、应急救护援、募捐救助、宣传传播、造血干细胞捐献等</w:t>
      </w:r>
      <w:r>
        <w:rPr>
          <w:rFonts w:hint="eastAsia" w:ascii="仿宋_GB2312" w:hAnsi="仿宋_GB2312" w:eastAsia="仿宋_GB2312" w:cs="仿宋_GB2312"/>
          <w:sz w:val="32"/>
          <w:szCs w:val="32"/>
          <w:lang w:val="en-US" w:eastAsia="zh-CN"/>
        </w:rPr>
        <w:t>10个项目经费的预算编制</w:t>
      </w:r>
      <w:r>
        <w:rPr>
          <w:rFonts w:hint="eastAsia" w:ascii="仿宋_GB2312" w:hAnsi="仿宋_GB2312" w:eastAsia="仿宋_GB2312" w:cs="仿宋_GB2312"/>
          <w:sz w:val="32"/>
          <w:szCs w:val="32"/>
          <w:lang w:eastAsia="zh-CN"/>
        </w:rPr>
        <w:t>、预算执行、完成情况、绩效目标评价等进行决策。</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2．决策依据</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依据《北京市红十字会</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年工作要点》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《海淀区红十字会</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年工作计划》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年应急救护培训任务分配》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红十字会募捐救助工作实施方案》</w:t>
      </w:r>
      <w:r>
        <w:rPr>
          <w:rFonts w:hint="eastAsia" w:ascii="仿宋_GB2312" w:hAnsi="仿宋_GB2312" w:eastAsia="仿宋_GB2312" w:cs="仿宋_GB2312"/>
          <w:sz w:val="32"/>
          <w:szCs w:val="32"/>
          <w:lang w:eastAsia="zh-CN"/>
        </w:rPr>
        <w:t>及财务相关规章制度等</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3．决策流程</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rPr>
      </w:pPr>
      <w:r>
        <w:rPr>
          <w:rFonts w:hint="eastAsia" w:ascii="仿宋_GB2312" w:hAnsi="仿宋_GB2312" w:eastAsia="仿宋_GB2312" w:cs="仿宋_GB2312"/>
          <w:sz w:val="32"/>
          <w:szCs w:val="32"/>
        </w:rPr>
        <w:t>对关键业务流程设置内部控制，设置预算、收支、采购、资产合同等业务流程控制，事前规划、事中控制、事后记录。对关键岗位明确岗位职责权限，划分岗位职责，控制风险。执行过程中根据实际情况做出适</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调整，确保任务圆满完成。决策过程中各司其职，责任划分清晰，提案与决定、执行和监督等不相容岗位相互分离，做好风险把控。</w:t>
      </w:r>
    </w:p>
    <w:p>
      <w:pPr>
        <w:pStyle w:val="2"/>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b w:val="0"/>
          <w:sz w:val="32"/>
        </w:rPr>
      </w:pPr>
      <w:r>
        <w:rPr>
          <w:rFonts w:hint="eastAsia" w:ascii="黑体" w:hAnsi="黑体" w:eastAsia="黑体"/>
          <w:b w:val="0"/>
          <w:sz w:val="32"/>
        </w:rPr>
        <w:t>三、部门预算、预算执行及管理情况</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（一）部门预算编制情况</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2021年预算收入6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545.19元，均为财政拨款；2021年预算支出为6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545.19元，其中教育支出230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000元，社会保障和就业支出5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826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995.69元，卫生健康支出249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549.5元。相关支出预算根据往年执行情况和当年工作计划</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rPr>
        <w:t>，主要包括红十字</w:t>
      </w:r>
      <w:r>
        <w:rPr>
          <w:rFonts w:hint="eastAsia" w:ascii="仿宋_GB2312" w:hAnsi="仿宋_GB2312" w:eastAsia="仿宋_GB2312" w:cs="仿宋_GB2312"/>
          <w:sz w:val="32"/>
          <w:szCs w:val="32"/>
          <w:lang w:eastAsia="zh-CN"/>
        </w:rPr>
        <w:t>业务费、</w:t>
      </w:r>
      <w:r>
        <w:rPr>
          <w:rFonts w:hint="eastAsia" w:ascii="仿宋_GB2312" w:hAnsi="仿宋_GB2312" w:eastAsia="仿宋_GB2312" w:cs="仿宋_GB2312"/>
          <w:sz w:val="32"/>
          <w:szCs w:val="32"/>
        </w:rPr>
        <w:t>应急救护培训、应急救援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w:t>
      </w:r>
      <w:r>
        <w:rPr>
          <w:rFonts w:hint="eastAsia" w:ascii="仿宋_GB2312" w:hAnsi="仿宋_GB2312" w:eastAsia="仿宋_GB2312" w:cs="仿宋_GB2312"/>
          <w:sz w:val="32"/>
          <w:szCs w:val="32"/>
          <w:lang w:eastAsia="zh-CN"/>
        </w:rPr>
        <w:t>血</w:t>
      </w:r>
      <w:r>
        <w:rPr>
          <w:rFonts w:hint="eastAsia" w:ascii="仿宋_GB2312" w:hAnsi="仿宋_GB2312" w:eastAsia="仿宋_GB2312" w:cs="仿宋_GB2312"/>
          <w:sz w:val="32"/>
          <w:szCs w:val="32"/>
        </w:rPr>
        <w:t>干</w:t>
      </w:r>
      <w:r>
        <w:rPr>
          <w:rFonts w:hint="eastAsia" w:ascii="仿宋_GB2312" w:hAnsi="仿宋_GB2312" w:eastAsia="仿宋_GB2312" w:cs="仿宋_GB2312"/>
          <w:sz w:val="32"/>
          <w:szCs w:val="32"/>
          <w:lang w:eastAsia="zh-CN"/>
        </w:rPr>
        <w:t>细胞</w:t>
      </w:r>
      <w:r>
        <w:rPr>
          <w:rFonts w:hint="eastAsia" w:ascii="仿宋_GB2312" w:hAnsi="仿宋_GB2312" w:eastAsia="仿宋_GB2312" w:cs="仿宋_GB2312"/>
          <w:sz w:val="32"/>
          <w:szCs w:val="32"/>
        </w:rPr>
        <w:t>捐献者、宣传、</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项目经费</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2021年部门预算“三公”经费财政拨款预算安排38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831.00元，比2020年“三公”经费财政拨款预算增加1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999.4元，其中因公出国（境）费用0元，公务接待费</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sz w:val="32"/>
          <w:szCs w:val="32"/>
        </w:rPr>
        <w:t>元，公务用车购置及运行维护费36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831元。</w:t>
      </w:r>
      <w:bookmarkStart w:id="0" w:name="_GoBack"/>
      <w:bookmarkEnd w:id="0"/>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（二）部门预算执行情况</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eastAsia="zh-CN"/>
        </w:rPr>
        <w:t>年初预算</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306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545.19元</w:t>
      </w:r>
      <w:r>
        <w:rPr>
          <w:rFonts w:hint="eastAsia" w:ascii="仿宋_GB2312" w:hAnsi="仿宋_GB2312" w:eastAsia="仿宋_GB2312" w:cs="仿宋_GB2312"/>
          <w:sz w:val="32"/>
          <w:szCs w:val="32"/>
          <w:lang w:eastAsia="zh-CN"/>
        </w:rPr>
        <w:t>，调整预算</w:t>
      </w:r>
      <w:r>
        <w:rPr>
          <w:rFonts w:hint="eastAsia" w:ascii="仿宋_GB2312" w:hAnsi="仿宋_GB2312" w:eastAsia="仿宋_GB2312" w:cs="仿宋_GB2312"/>
          <w:sz w:val="32"/>
          <w:szCs w:val="32"/>
          <w:lang w:val="en-US" w:eastAsia="zh-CN"/>
        </w:rPr>
        <w:t>748,464.41元，实际预算</w:t>
      </w:r>
      <w:r>
        <w:rPr>
          <w:rFonts w:hint="eastAsia" w:ascii="仿宋_GB2312" w:hAnsi="仿宋_GB2312" w:eastAsia="仿宋_GB2312" w:cs="仿宋_GB2312"/>
          <w:sz w:val="32"/>
          <w:szCs w:val="32"/>
        </w:rPr>
        <w:t>支出5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558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080.78元，年末结转结余32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260元。三公</w:t>
      </w:r>
      <w:r>
        <w:rPr>
          <w:rFonts w:hint="eastAsia" w:ascii="仿宋_GB2312" w:hAnsi="仿宋_GB2312" w:eastAsia="仿宋_GB2312" w:cs="仿宋_GB2312"/>
          <w:color w:val="000000" w:themeColor="text1"/>
          <w:sz w:val="32"/>
          <w:szCs w:val="32"/>
          <w14:textFill>
            <w14:solidFill>
              <w14:schemeClr w14:val="tx1"/>
            </w14:solidFill>
          </w14:textFill>
        </w:rPr>
        <w:t>经费实际执行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718.63元，</w:t>
      </w:r>
      <w:r>
        <w:rPr>
          <w:rFonts w:hint="eastAsia" w:ascii="仿宋_GB2312" w:hAnsi="仿宋_GB2312" w:eastAsia="仿宋_GB2312" w:cs="仿宋_GB2312"/>
          <w:sz w:val="32"/>
          <w:szCs w:val="32"/>
        </w:rPr>
        <w:t>用于公务用车运行维护</w:t>
      </w:r>
      <w:r>
        <w:rPr>
          <w:rFonts w:hint="eastAsia" w:ascii="仿宋_GB2312" w:hAnsi="仿宋_GB2312" w:eastAsia="仿宋_GB2312" w:cs="仿宋_GB2312"/>
          <w:sz w:val="32"/>
          <w:szCs w:val="32"/>
          <w:lang w:eastAsia="zh-CN"/>
        </w:rPr>
        <w:t>和公务接待</w:t>
      </w:r>
      <w:r>
        <w:rPr>
          <w:rFonts w:hint="eastAsia" w:ascii="仿宋_GB2312" w:hAnsi="仿宋_GB2312" w:eastAsia="仿宋_GB2312" w:cs="仿宋_GB2312"/>
          <w:sz w:val="32"/>
          <w:szCs w:val="32"/>
        </w:rPr>
        <w:t>。</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（三）部门预算的管理情况</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b w:val="0"/>
          <w:bCs w:val="0"/>
          <w:sz w:val="32"/>
          <w:szCs w:val="32"/>
          <w:lang w:eastAsia="zh-CN"/>
        </w:rPr>
        <w:t>由资金管理部牵头，</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科室编制项目预算，</w:t>
      </w:r>
      <w:r>
        <w:rPr>
          <w:rFonts w:hint="eastAsia" w:ascii="仿宋_GB2312" w:hAnsi="仿宋_GB2312" w:eastAsia="仿宋_GB2312" w:cs="仿宋_GB2312"/>
          <w:b w:val="0"/>
          <w:bCs w:val="0"/>
          <w:sz w:val="32"/>
          <w:szCs w:val="32"/>
        </w:rPr>
        <w:t>按照预算</w:t>
      </w:r>
      <w:r>
        <w:rPr>
          <w:rFonts w:hint="eastAsia" w:ascii="仿宋_GB2312" w:hAnsi="仿宋_GB2312" w:eastAsia="仿宋_GB2312" w:cs="仿宋_GB2312"/>
          <w:b w:val="0"/>
          <w:bCs w:val="0"/>
          <w:sz w:val="32"/>
          <w:szCs w:val="32"/>
          <w:lang w:eastAsia="zh-CN"/>
        </w:rPr>
        <w:t>编制情况执行，依据单位“三重一大”制度要求管理资金，层层把关，</w:t>
      </w:r>
      <w:r>
        <w:rPr>
          <w:rFonts w:hint="eastAsia" w:ascii="仿宋_GB2312" w:hAnsi="仿宋_GB2312" w:eastAsia="仿宋_GB2312" w:cs="仿宋_GB2312"/>
          <w:b w:val="0"/>
          <w:bCs w:val="0"/>
          <w:sz w:val="32"/>
          <w:szCs w:val="32"/>
        </w:rPr>
        <w:t>责任清晰、风险可控。</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（四）部门财务管理情况</w:t>
      </w:r>
    </w:p>
    <w:p>
      <w:pPr>
        <w:pStyle w:val="2"/>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海淀区红十字会</w:t>
      </w:r>
      <w:r>
        <w:rPr>
          <w:rFonts w:hint="eastAsia" w:ascii="仿宋_GB2312" w:hAnsi="仿宋_GB2312" w:eastAsia="仿宋_GB2312" w:cs="仿宋_GB2312"/>
          <w:b w:val="0"/>
          <w:bCs w:val="0"/>
          <w:sz w:val="32"/>
          <w:szCs w:val="32"/>
        </w:rPr>
        <w:t>财务管理制度》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海淀区红十字会</w:t>
      </w:r>
      <w:r>
        <w:rPr>
          <w:rFonts w:hint="eastAsia" w:ascii="仿宋_GB2312" w:hAnsi="仿宋_GB2312" w:eastAsia="仿宋_GB2312" w:cs="仿宋_GB2312"/>
          <w:b w:val="0"/>
          <w:bCs w:val="0"/>
          <w:sz w:val="32"/>
          <w:szCs w:val="32"/>
        </w:rPr>
        <w:t>内部控制制度》</w:t>
      </w:r>
      <w:r>
        <w:rPr>
          <w:rFonts w:hint="eastAsia" w:ascii="仿宋_GB2312" w:hAnsi="仿宋_GB2312" w:eastAsia="仿宋_GB2312" w:cs="仿宋_GB2312"/>
          <w:b w:val="0"/>
          <w:bCs w:val="0"/>
          <w:sz w:val="32"/>
          <w:szCs w:val="32"/>
          <w:lang w:eastAsia="zh-CN"/>
        </w:rPr>
        <w:t>等相关</w:t>
      </w:r>
      <w:r>
        <w:rPr>
          <w:rFonts w:hint="eastAsia" w:ascii="仿宋_GB2312" w:hAnsi="仿宋_GB2312" w:eastAsia="仿宋_GB2312" w:cs="仿宋_GB2312"/>
          <w:b w:val="0"/>
          <w:bCs w:val="0"/>
          <w:sz w:val="32"/>
          <w:szCs w:val="32"/>
        </w:rPr>
        <w:t>审批</w:t>
      </w:r>
      <w:r>
        <w:rPr>
          <w:rFonts w:hint="eastAsia" w:ascii="仿宋_GB2312" w:hAnsi="仿宋_GB2312" w:eastAsia="仿宋_GB2312" w:cs="仿宋_GB2312"/>
          <w:b w:val="0"/>
          <w:bCs w:val="0"/>
          <w:sz w:val="32"/>
          <w:szCs w:val="32"/>
          <w:lang w:eastAsia="zh-CN"/>
        </w:rPr>
        <w:t>流程</w:t>
      </w:r>
      <w:r>
        <w:rPr>
          <w:rFonts w:hint="eastAsia" w:ascii="仿宋_GB2312" w:hAnsi="仿宋_GB2312" w:eastAsia="仿宋_GB2312" w:cs="仿宋_GB2312"/>
          <w:b w:val="0"/>
          <w:bCs w:val="0"/>
          <w:sz w:val="32"/>
          <w:szCs w:val="32"/>
        </w:rPr>
        <w:t>执行，资金使用专款专用，管理符合国家</w:t>
      </w:r>
      <w:r>
        <w:rPr>
          <w:rFonts w:hint="eastAsia" w:ascii="仿宋_GB2312" w:hAnsi="仿宋_GB2312" w:eastAsia="仿宋_GB2312" w:cs="仿宋_GB2312"/>
          <w:b w:val="0"/>
          <w:bCs w:val="0"/>
          <w:sz w:val="32"/>
          <w:szCs w:val="32"/>
          <w:lang w:eastAsia="zh-CN"/>
        </w:rPr>
        <w:t>财经</w:t>
      </w:r>
      <w:r>
        <w:rPr>
          <w:rFonts w:hint="eastAsia" w:ascii="仿宋_GB2312" w:hAnsi="仿宋_GB2312" w:eastAsia="仿宋_GB2312" w:cs="仿宋_GB2312"/>
          <w:b w:val="0"/>
          <w:bCs w:val="0"/>
          <w:sz w:val="32"/>
          <w:szCs w:val="32"/>
        </w:rPr>
        <w:t>制度，财务信息管理系统为用友财务系统。各项支出均按照财政预算批复和有关规定执行。</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使用由申请科室填写用款审批单，写清金额、用途等，由经办人、所在科室科长签字，经财务审核，最后由主管领导和常务副会长批示，全部流程结束后将用款审批单和相关材料提交资金管理部，资金管理部在规定时限内</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。各环节</w:t>
      </w:r>
      <w:r>
        <w:rPr>
          <w:rFonts w:hint="eastAsia" w:ascii="仿宋_GB2312" w:hAnsi="仿宋_GB2312" w:eastAsia="仿宋_GB2312" w:cs="仿宋_GB2312"/>
          <w:sz w:val="32"/>
          <w:szCs w:val="32"/>
          <w:lang w:eastAsia="zh-CN"/>
        </w:rPr>
        <w:t>层层</w:t>
      </w:r>
      <w:r>
        <w:rPr>
          <w:rFonts w:hint="eastAsia" w:ascii="仿宋_GB2312" w:hAnsi="仿宋_GB2312" w:eastAsia="仿宋_GB2312" w:cs="仿宋_GB2312"/>
          <w:sz w:val="32"/>
          <w:szCs w:val="32"/>
        </w:rPr>
        <w:t>把关</w:t>
      </w:r>
      <w:r>
        <w:rPr>
          <w:rFonts w:hint="eastAsia" w:ascii="仿宋_GB2312" w:hAnsi="仿宋_GB2312" w:eastAsia="仿宋_GB2312" w:cs="仿宋_GB2312"/>
          <w:sz w:val="32"/>
          <w:szCs w:val="32"/>
          <w:lang w:eastAsia="zh-CN"/>
        </w:rPr>
        <w:t>，逐级审批，严格管理</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黑体" w:hAnsi="黑体" w:eastAsia="黑体"/>
          <w:b w:val="0"/>
          <w:sz w:val="32"/>
        </w:rPr>
      </w:pPr>
      <w:r>
        <w:rPr>
          <w:rFonts w:hint="eastAsia" w:ascii="黑体" w:hAnsi="黑体" w:eastAsia="黑体"/>
          <w:b w:val="0"/>
          <w:sz w:val="32"/>
        </w:rPr>
        <w:t>四、部门管理情况</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（一）制度建设情况</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严格执行《海淀区红十字会会议管理制度》、《海淀区红十字会财务制度》、《海淀区红十字会工会经费管理办法》、《海淀区红十字会公务接待管理办法》等，改进会风文风，加强廉政建设，通过刚性约束整治享乐主义和奢靡之风。</w:t>
      </w:r>
    </w:p>
    <w:p>
      <w:pPr>
        <w:pStyle w:val="3"/>
        <w:pageBreakBefore w:val="0"/>
        <w:widowControl w:val="0"/>
        <w:kinsoku/>
        <w:wordWrap/>
        <w:overflowPunct/>
        <w:topLinePunct w:val="0"/>
        <w:autoSpaceDE/>
        <w:autoSpaceDN/>
        <w:bidi w:val="0"/>
        <w:adjustRightInd/>
        <w:snapToGrid/>
        <w:spacing w:before="0" w:after="0" w:line="560" w:lineRule="exact"/>
        <w:ind w:firstLine="48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是严格执行《海淀区红十字会机关工作人员请休假制度》、《海淀区红十字会公务人员年度考核实施办法》、《海淀区红十字会车辆使用管理办法》、《海淀区红十字会档案管理制度》、《海淀区红十字会保密工作管理制度》等，加强机关干部管理，规范行为准则，扭转“慵懒散”不良作风。</w:t>
      </w:r>
    </w:p>
    <w:p>
      <w:pPr>
        <w:pStyle w:val="3"/>
        <w:pageBreakBefore w:val="0"/>
        <w:widowControl w:val="0"/>
        <w:kinsoku/>
        <w:wordWrap/>
        <w:overflowPunct/>
        <w:topLinePunct w:val="0"/>
        <w:autoSpaceDE/>
        <w:autoSpaceDN/>
        <w:bidi w:val="0"/>
        <w:adjustRightInd/>
        <w:snapToGrid/>
        <w:spacing w:before="0" w:after="0" w:line="560" w:lineRule="exact"/>
        <w:ind w:firstLine="48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是严格执行《海淀区红十字会募捐和接受捐赠工作管理办法》、《海淀区红十字会人道救助管理办法》、《红十字会应急救护培训教师讲课费发放办法》，严格规范募捐、接受捐赠、人道救助、应急救护培训工作程序等，树立依法依规办事的工作作风。</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sz w:val="32"/>
          <w:szCs w:val="32"/>
        </w:rPr>
        <w:t>四是研究制定《海淀区红十字会采购管理办法（试行）》《海淀区红十字会固定资产管理办法（试行）》，规范物资采购和领用流程，加强固定资产管理和使用。</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（二）主要职能的工作流程</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按照各项工作要求，根据不同项目明确了各项工作流程：</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募捐工作流程为业务部发出募捐工作通知，各街镇红十字会、学校工作委员会、行业红十字会在辖区及系统内广泛动员开展募捐工作，并将募集的善款统一汇缴至区红十字会。</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助工作流程为符合申请条件的本区户籍求助对象，向户籍所在地的街镇红十字会、行业系统红十字会或其他指定的基层红十字组织提交书面申请。基层红十字组织受理、初审后上报区红十字会，区红十字会业务部核实后提请班子会（执委会）研究形成决议，发放人道救助款物。</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护培训工作流程为受训方和海淀区红十字会联系，填写《应急救护培训申请表》，经区红十字会审核通过后安排培训师资、培训用品，在约定的时间、地点实施授课。对于考核合格的取证班学员经区、市红十字会培训部门审核后由北京市红十字会统一制作救护员证。</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rPr>
      </w:pPr>
      <w:r>
        <w:rPr>
          <w:rFonts w:hint="eastAsia" w:ascii="仿宋_GB2312" w:hAnsi="仿宋_GB2312" w:eastAsia="仿宋_GB2312" w:cs="仿宋_GB2312"/>
          <w:sz w:val="32"/>
          <w:szCs w:val="32"/>
        </w:rPr>
        <w:t>志愿者招募工作流程：一是通过在志愿北京网站上注册和区红十字网站下载红十字志愿服务报名登记表，加入区红十字志愿团队；二是通过应急救护培训宣传、组织红十字活动现场报名填写志愿者登记表；三是通过报刊、电台等媒体宣传，到红十字会业务科现场填写登记表。</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（三）部门项目管理情况</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预算批复</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，经费总计</w:t>
      </w:r>
      <w:r>
        <w:rPr>
          <w:rFonts w:hint="eastAsia" w:ascii="仿宋_GB2312" w:hAnsi="仿宋_GB2312" w:eastAsia="仿宋_GB2312" w:cs="仿宋_GB2312"/>
          <w:sz w:val="32"/>
          <w:szCs w:val="32"/>
          <w:lang w:val="en-US" w:eastAsia="zh-CN"/>
        </w:rPr>
        <w:t>328.50万元，</w:t>
      </w:r>
      <w:r>
        <w:rPr>
          <w:rFonts w:hint="eastAsia" w:ascii="仿宋_GB2312" w:hAnsi="仿宋_GB2312" w:eastAsia="仿宋_GB2312" w:cs="仿宋_GB2312"/>
          <w:sz w:val="32"/>
          <w:szCs w:val="32"/>
          <w:lang w:eastAsia="zh-CN"/>
        </w:rPr>
        <w:t>分别是：</w:t>
      </w:r>
      <w:r>
        <w:rPr>
          <w:rFonts w:hint="eastAsia" w:ascii="仿宋_GB2312" w:hAnsi="仿宋_GB2312" w:eastAsia="仿宋_GB2312" w:cs="仿宋_GB2312"/>
          <w:sz w:val="32"/>
          <w:szCs w:val="32"/>
          <w:lang w:val="en-US" w:eastAsia="zh-CN"/>
        </w:rPr>
        <w:t>1.红十字业务费40万元，主要是红十字会网站、微信公众号宣传运维、法律咨询、财务审计、职工餐费、对口支援工作回访及督导工作等；2.红十字宣传费60万元，主要开展红十字业务宣传，主题活动等；3.基层党建工作经费0.3万元；4.区长额度-红十字工作经费10万元；5.公务接待费0.2万元；6.应急救护工作专项经费140万元，主要开展应急救护技能取证培训和普及培训、举办应急救护技能大赛、举办师资培训班等；7.造血干细胞捐献工作经费10万元，慰问造干捐献者；8.应急救援队工作经费5万元；9.采购（AED）经费20万元；10.区长额度--购买AED 10万元；11.培训费23万元；12.会议费10万元。其中，由于疫情原因，无法开展线下会议和培训，费用上交财政统筹使用。</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（四）部门绩效管理情况</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sz w:val="32"/>
          <w:szCs w:val="32"/>
          <w:lang w:eastAsia="zh-CN"/>
        </w:rPr>
        <w:t>单位成立</w:t>
      </w:r>
      <w:r>
        <w:rPr>
          <w:rFonts w:hint="eastAsia" w:ascii="仿宋_GB2312" w:hAnsi="仿宋_GB2312" w:eastAsia="仿宋_GB2312" w:cs="仿宋_GB2312"/>
          <w:sz w:val="32"/>
          <w:szCs w:val="32"/>
        </w:rPr>
        <w:t>绩效管理</w:t>
      </w:r>
      <w:r>
        <w:rPr>
          <w:rFonts w:hint="eastAsia" w:ascii="仿宋_GB2312" w:hAnsi="仿宋_GB2312" w:eastAsia="仿宋_GB2312" w:cs="仿宋_GB2312"/>
          <w:sz w:val="32"/>
          <w:szCs w:val="32"/>
          <w:lang w:eastAsia="zh-CN"/>
        </w:rPr>
        <w:t>工作小组，</w:t>
      </w:r>
      <w:r>
        <w:rPr>
          <w:rFonts w:hint="eastAsia" w:ascii="仿宋_GB2312" w:hAnsi="仿宋_GB2312" w:eastAsia="仿宋_GB2312" w:cs="仿宋_GB2312"/>
          <w:sz w:val="32"/>
          <w:szCs w:val="32"/>
        </w:rPr>
        <w:t>常务副会长为组长，</w:t>
      </w:r>
      <w:r>
        <w:rPr>
          <w:rFonts w:hint="eastAsia" w:ascii="仿宋_GB2312" w:hAnsi="仿宋_GB2312" w:eastAsia="仿宋_GB2312" w:cs="仿宋_GB2312"/>
          <w:sz w:val="32"/>
          <w:szCs w:val="32"/>
          <w:lang w:eastAsia="zh-CN"/>
        </w:rPr>
        <w:t>主管领导</w:t>
      </w:r>
      <w:r>
        <w:rPr>
          <w:rFonts w:hint="eastAsia" w:ascii="仿宋_GB2312" w:hAnsi="仿宋_GB2312" w:eastAsia="仿宋_GB2312" w:cs="仿宋_GB2312"/>
          <w:sz w:val="32"/>
          <w:szCs w:val="32"/>
        </w:rPr>
        <w:t>为副组长，</w:t>
      </w:r>
      <w:r>
        <w:rPr>
          <w:rFonts w:hint="eastAsia" w:ascii="仿宋_GB2312" w:hAnsi="仿宋_GB2312" w:eastAsia="仿宋_GB2312" w:cs="仿宋_GB2312"/>
          <w:sz w:val="32"/>
          <w:szCs w:val="32"/>
          <w:lang w:eastAsia="zh-CN"/>
        </w:rPr>
        <w:t>科室负责人</w:t>
      </w:r>
      <w:r>
        <w:rPr>
          <w:rFonts w:hint="eastAsia" w:ascii="仿宋_GB2312" w:hAnsi="仿宋_GB2312" w:eastAsia="仿宋_GB2312" w:cs="仿宋_GB2312"/>
          <w:sz w:val="32"/>
          <w:szCs w:val="32"/>
        </w:rPr>
        <w:t>为成员，负责对</w:t>
      </w:r>
      <w:r>
        <w:rPr>
          <w:rFonts w:hint="eastAsia" w:ascii="仿宋_GB2312" w:hAnsi="仿宋_GB2312" w:eastAsia="仿宋_GB2312" w:cs="仿宋_GB2312"/>
          <w:sz w:val="32"/>
          <w:szCs w:val="32"/>
          <w:lang w:eastAsia="zh-CN"/>
        </w:rPr>
        <w:t>项目预算执行情况</w:t>
      </w:r>
      <w:r>
        <w:rPr>
          <w:rFonts w:hint="eastAsia" w:ascii="仿宋_GB2312" w:hAnsi="仿宋_GB2312" w:eastAsia="仿宋_GB2312" w:cs="仿宋_GB2312"/>
          <w:sz w:val="32"/>
          <w:szCs w:val="32"/>
        </w:rPr>
        <w:t>进行全程跟踪、评价等。</w:t>
      </w:r>
      <w:r>
        <w:rPr>
          <w:rFonts w:hint="eastAsia" w:ascii="仿宋_GB2312" w:hAnsi="仿宋_GB2312" w:eastAsia="仿宋_GB2312" w:cs="仿宋_GB2312"/>
          <w:sz w:val="32"/>
          <w:szCs w:val="32"/>
          <w:lang w:eastAsia="zh-CN"/>
        </w:rPr>
        <w:t>流程：</w:t>
      </w:r>
      <w:r>
        <w:rPr>
          <w:rFonts w:hint="eastAsia" w:ascii="仿宋_GB2312" w:hAnsi="仿宋_GB2312" w:eastAsia="仿宋_GB2312" w:cs="仿宋_GB2312"/>
          <w:sz w:val="32"/>
          <w:szCs w:val="32"/>
        </w:rPr>
        <w:t>各科室根据</w:t>
      </w:r>
      <w:r>
        <w:rPr>
          <w:rFonts w:hint="eastAsia" w:ascii="仿宋_GB2312" w:hAnsi="仿宋_GB2312" w:eastAsia="仿宋_GB2312" w:cs="仿宋_GB2312"/>
          <w:sz w:val="32"/>
          <w:szCs w:val="32"/>
          <w:lang w:eastAsia="zh-CN"/>
        </w:rPr>
        <w:t>预算项目</w:t>
      </w:r>
      <w:r>
        <w:rPr>
          <w:rFonts w:hint="eastAsia" w:ascii="仿宋_GB2312" w:hAnsi="仿宋_GB2312" w:eastAsia="仿宋_GB2312" w:cs="仿宋_GB2312"/>
          <w:sz w:val="32"/>
          <w:szCs w:val="32"/>
        </w:rPr>
        <w:t>完成情况进行自评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经主管领导审核通过后提交资金管理部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资金管理部</w:t>
      </w:r>
      <w:r>
        <w:rPr>
          <w:rFonts w:hint="eastAsia" w:ascii="仿宋_GB2312" w:hAnsi="仿宋_GB2312" w:eastAsia="仿宋_GB2312" w:cs="仿宋_GB2312"/>
          <w:sz w:val="32"/>
          <w:szCs w:val="32"/>
          <w:lang w:eastAsia="zh-CN"/>
        </w:rPr>
        <w:t>进行项目汇总，填报相关报表，撰写</w:t>
      </w:r>
      <w:r>
        <w:rPr>
          <w:rFonts w:hint="eastAsia" w:ascii="仿宋_GB2312" w:hAnsi="仿宋_GB2312" w:eastAsia="仿宋_GB2312" w:cs="仿宋_GB2312"/>
          <w:sz w:val="32"/>
          <w:szCs w:val="32"/>
        </w:rPr>
        <w:t>整体支出绩效自评</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，经主管领导、</w:t>
      </w:r>
      <w:r>
        <w:rPr>
          <w:rFonts w:hint="eastAsia" w:ascii="仿宋_GB2312" w:hAnsi="仿宋_GB2312" w:eastAsia="仿宋_GB2312" w:cs="仿宋_GB2312"/>
          <w:sz w:val="32"/>
          <w:szCs w:val="32"/>
          <w:lang w:eastAsia="zh-CN"/>
        </w:rPr>
        <w:t>主要领导</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后报财政局主管科室</w:t>
      </w:r>
      <w:r>
        <w:rPr>
          <w:rFonts w:hint="eastAsia" w:ascii="仿宋_GB2312" w:hAnsi="仿宋_GB2312" w:eastAsia="仿宋_GB2312" w:cs="仿宋_GB2312"/>
          <w:sz w:val="32"/>
          <w:szCs w:val="32"/>
        </w:rPr>
        <w:t>。</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（五）部门资产管理情况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rPr>
      </w:pPr>
      <w:r>
        <w:rPr>
          <w:rFonts w:hint="eastAsia" w:ascii="仿宋_GB2312" w:hAnsi="仿宋_GB2312" w:eastAsia="仿宋_GB2312" w:cs="仿宋_GB2312"/>
          <w:color w:val="000000" w:themeColor="text1"/>
          <w:sz w:val="32"/>
          <w:szCs w:val="32"/>
          <w14:textFill>
            <w14:solidFill>
              <w14:schemeClr w14:val="tx1"/>
            </w14:solidFill>
          </w14:textFill>
        </w:rPr>
        <w:t>截至20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年12月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31日</w:t>
      </w:r>
      <w:r>
        <w:rPr>
          <w:rFonts w:hint="eastAsia" w:ascii="仿宋_GB2312" w:hAnsi="仿宋_GB2312" w:eastAsia="仿宋_GB2312" w:cs="仿宋_GB2312"/>
          <w:color w:val="000000" w:themeColor="text1"/>
          <w:sz w:val="32"/>
          <w:szCs w:val="32"/>
          <w14:textFill>
            <w14:solidFill>
              <w14:schemeClr w14:val="tx1"/>
            </w14:solidFill>
          </w14:textFill>
        </w:rPr>
        <w:t>，单位固定资产总</w:t>
      </w:r>
      <w:r>
        <w:rPr>
          <w:rFonts w:hint="eastAsia" w:ascii="仿宋_GB2312" w:hAnsi="仿宋_GB2312" w:eastAsia="仿宋_GB2312" w:cs="仿宋_GB2312"/>
          <w:color w:val="000000" w:themeColor="text1"/>
          <w:sz w:val="32"/>
          <w:szCs w:val="32"/>
          <w:lang w:eastAsia="zh-CN"/>
          <w14:textFill>
            <w14:solidFill>
              <w14:schemeClr w14:val="tx1"/>
            </w14:solidFill>
          </w14:textFill>
        </w:rPr>
        <w:t>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889,588.99</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比年初减少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401,963.99元，主要原因为财政应返还额度增加32,260元，固定资产计提折旧致固定资产净值减少435,258.01元，无形资产进行累计摊销致</w:t>
      </w:r>
      <w:r>
        <w:rPr>
          <w:rFonts w:hint="eastAsia" w:ascii="仿宋_GB2312" w:hAnsi="仿宋_GB2312" w:eastAsia="仿宋_GB2312" w:cs="仿宋_GB2312"/>
          <w:color w:val="000000" w:themeColor="text1"/>
          <w:sz w:val="32"/>
          <w:szCs w:val="32"/>
          <w14:textFill>
            <w14:solidFill>
              <w14:schemeClr w14:val="tx1"/>
            </w14:solidFill>
          </w14:textFill>
        </w:rPr>
        <w:t>无形资产</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31,987.58</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资产</w:t>
      </w:r>
      <w:r>
        <w:rPr>
          <w:rFonts w:hint="eastAsia" w:ascii="仿宋_GB2312" w:hAnsi="仿宋_GB2312" w:eastAsia="仿宋_GB2312" w:cs="仿宋_GB2312"/>
          <w:color w:val="000000" w:themeColor="text1"/>
          <w:sz w:val="32"/>
          <w:szCs w:val="32"/>
          <w14:textFill>
            <w14:solidFill>
              <w14:schemeClr w14:val="tx1"/>
            </w14:solidFill>
          </w14:textFill>
        </w:rPr>
        <w:t>管理规范，利用率</w:t>
      </w:r>
      <w:r>
        <w:rPr>
          <w:rFonts w:hint="eastAsia" w:ascii="仿宋_GB2312" w:hAnsi="仿宋_GB2312" w:eastAsia="仿宋_GB2312" w:cs="仿宋_GB2312"/>
          <w:color w:val="000000" w:themeColor="text1"/>
          <w:sz w:val="32"/>
          <w:szCs w:val="32"/>
          <w:lang w:eastAsia="zh-CN"/>
          <w14:textFill>
            <w14:solidFill>
              <w14:schemeClr w14:val="tx1"/>
            </w14:solidFill>
          </w14:textFill>
        </w:rPr>
        <w:t>高，均归本部门管理使用</w:t>
      </w:r>
      <w:r>
        <w:rPr>
          <w:rFonts w:hint="eastAsia" w:ascii="仿宋_GB2312" w:hAnsi="仿宋_GB2312" w:eastAsia="仿宋_GB2312" w:cs="仿宋_GB2312"/>
          <w:color w:val="000000" w:themeColor="text1"/>
          <w:sz w:val="32"/>
          <w:szCs w:val="32"/>
          <w14:textFill>
            <w14:solidFill>
              <w14:schemeClr w14:val="tx1"/>
            </w14:solidFill>
          </w14:textFill>
        </w:rPr>
        <w:t>。固定资产的购置按区财政局批复的预算，经单位主要领导批准后，按海淀区政府采购的有关规定执行。每年对固定资产进行盘点</w:t>
      </w:r>
      <w:r>
        <w:rPr>
          <w:rFonts w:hint="eastAsia" w:ascii="仿宋_GB2312" w:hAnsi="仿宋_GB2312" w:eastAsia="仿宋_GB2312" w:cs="仿宋_GB2312"/>
          <w:color w:val="000000" w:themeColor="text1"/>
          <w:sz w:val="32"/>
          <w:szCs w:val="32"/>
          <w:lang w:eastAsia="zh-CN"/>
          <w14:textFill>
            <w14:solidFill>
              <w14:schemeClr w14:val="tx1"/>
            </w14:solidFill>
          </w14:textFill>
        </w:rPr>
        <w:t>，按时</w:t>
      </w:r>
      <w:r>
        <w:rPr>
          <w:rFonts w:hint="eastAsia" w:ascii="仿宋_GB2312" w:hAnsi="仿宋_GB2312" w:eastAsia="仿宋_GB2312" w:cs="仿宋_GB2312"/>
          <w:color w:val="000000" w:themeColor="text1"/>
          <w:sz w:val="32"/>
          <w:szCs w:val="32"/>
          <w14:textFill>
            <w14:solidFill>
              <w14:schemeClr w14:val="tx1"/>
            </w14:solidFill>
          </w14:textFill>
        </w:rPr>
        <w:t>报废</w:t>
      </w:r>
      <w:r>
        <w:rPr>
          <w:rFonts w:hint="eastAsia" w:ascii="仿宋_GB2312" w:hAnsi="仿宋_GB2312" w:eastAsia="仿宋_GB2312" w:cs="仿宋_GB2312"/>
          <w:color w:val="000000" w:themeColor="text1"/>
          <w:sz w:val="32"/>
          <w:szCs w:val="32"/>
          <w:lang w:eastAsia="zh-CN"/>
          <w14:textFill>
            <w14:solidFill>
              <w14:schemeClr w14:val="tx1"/>
            </w14:solidFill>
          </w14:textFill>
        </w:rPr>
        <w:t>处置。</w:t>
      </w:r>
      <w:r>
        <w:rPr>
          <w:rFonts w:hint="eastAsia" w:ascii="仿宋_GB2312" w:hAnsi="仿宋_GB2312" w:eastAsia="仿宋_GB2312" w:cs="仿宋_GB2312"/>
          <w:color w:val="000000" w:themeColor="text1"/>
          <w:sz w:val="32"/>
          <w:szCs w:val="32"/>
          <w14:textFill>
            <w14:solidFill>
              <w14:schemeClr w14:val="tx1"/>
            </w14:solidFill>
          </w14:textFill>
        </w:rPr>
        <w:t>按照海淀区政府关于国有资产处置管理办法的规定及要求，经单位领导班子会或执委会批准后执行。</w:t>
      </w:r>
    </w:p>
    <w:p>
      <w:pPr>
        <w:pStyle w:val="2"/>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b w:val="0"/>
          <w:sz w:val="32"/>
        </w:rPr>
      </w:pPr>
      <w:r>
        <w:rPr>
          <w:rFonts w:hint="eastAsia" w:ascii="黑体" w:hAnsi="黑体" w:eastAsia="黑体"/>
          <w:b w:val="0"/>
          <w:sz w:val="32"/>
        </w:rPr>
        <w:t>五、部门绩效实现情况</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（一）部门履职产出指标完成情况</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b w:val="0"/>
          <w:sz w:val="32"/>
          <w:szCs w:val="32"/>
          <w:lang w:eastAsia="zh-CN"/>
        </w:rPr>
        <w:t>单位履职产出指标完成较好，</w:t>
      </w:r>
      <w:r>
        <w:rPr>
          <w:rFonts w:hint="eastAsia" w:ascii="仿宋_GB2312" w:hAnsi="仿宋_GB2312" w:eastAsia="仿宋_GB2312" w:cs="仿宋_GB2312"/>
          <w:b w:val="0"/>
          <w:sz w:val="32"/>
          <w:szCs w:val="32"/>
          <w:lang w:val="en-US" w:eastAsia="zh-CN"/>
        </w:rPr>
        <w:t>10个项目执行率均达到80%以上，自评均为优秀。</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（二）部门履职效果指标实现情况</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rPr>
      </w:pPr>
      <w:r>
        <w:rPr>
          <w:rFonts w:hint="eastAsia" w:ascii="仿宋_GB2312" w:hAnsi="仿宋_GB2312" w:eastAsia="仿宋_GB2312" w:cs="仿宋_GB2312"/>
          <w:sz w:val="32"/>
          <w:szCs w:val="32"/>
          <w:lang w:eastAsia="zh-CN"/>
        </w:rPr>
        <w:t>部门效果目标实现较好，</w:t>
      </w:r>
      <w:r>
        <w:rPr>
          <w:rFonts w:hint="eastAsia" w:ascii="仿宋_GB2312" w:hAnsi="仿宋_GB2312" w:eastAsia="仿宋_GB2312" w:cs="仿宋_GB2312"/>
          <w:sz w:val="32"/>
          <w:szCs w:val="32"/>
          <w:lang w:val="en-US" w:eastAsia="zh-CN"/>
        </w:rPr>
        <w:t>10个项目</w:t>
      </w:r>
      <w:r>
        <w:rPr>
          <w:rFonts w:hint="eastAsia" w:ascii="仿宋_GB2312" w:hAnsi="仿宋_GB2312" w:eastAsia="仿宋_GB2312" w:cs="仿宋_GB2312"/>
          <w:sz w:val="32"/>
          <w:szCs w:val="32"/>
          <w:lang w:eastAsia="zh-CN"/>
        </w:rPr>
        <w:t>均按照预算执行，达到预期目标。</w:t>
      </w:r>
    </w:p>
    <w:p>
      <w:pPr>
        <w:pStyle w:val="3"/>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楷体_GB2312" w:hAnsi="楷体_GB2312" w:eastAsia="楷体_GB2312" w:cs="楷体_GB2312"/>
          <w:b w:val="0"/>
        </w:rPr>
      </w:pPr>
      <w:r>
        <w:rPr>
          <w:rFonts w:hint="eastAsia" w:ascii="楷体_GB2312" w:hAnsi="楷体_GB2312" w:eastAsia="楷体_GB2312" w:cs="楷体_GB2312"/>
          <w:b w:val="0"/>
        </w:rPr>
        <w:t>（三）绩效目标未完成情况及原因分析</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pStyle w:val="2"/>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b w:val="0"/>
          <w:sz w:val="32"/>
        </w:rPr>
      </w:pPr>
      <w:r>
        <w:rPr>
          <w:rFonts w:hint="eastAsia" w:ascii="黑体" w:hAnsi="黑体" w:eastAsia="黑体"/>
          <w:b w:val="0"/>
          <w:sz w:val="32"/>
        </w:rPr>
        <w:t>六、部门整体绩效评价结论</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10个项目自评情况，</w:t>
      </w:r>
      <w:r>
        <w:rPr>
          <w:rFonts w:hint="eastAsia" w:ascii="仿宋_GB2312" w:hAnsi="仿宋_GB2312" w:eastAsia="仿宋_GB2312" w:cs="仿宋_GB2312"/>
          <w:color w:val="000000" w:themeColor="text1"/>
          <w:sz w:val="32"/>
          <w:szCs w:val="32"/>
          <w14:textFill>
            <w14:solidFill>
              <w14:schemeClr w14:val="tx1"/>
            </w14:solidFill>
          </w14:textFill>
        </w:rPr>
        <w:t>部门整体支出绩效评价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结论为优。</w:t>
      </w:r>
    </w:p>
    <w:p>
      <w:pPr>
        <w:pStyle w:val="2"/>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b w:val="0"/>
          <w:sz w:val="32"/>
        </w:rPr>
      </w:pPr>
      <w:r>
        <w:rPr>
          <w:rFonts w:hint="eastAsia" w:ascii="黑体" w:hAnsi="黑体" w:eastAsia="黑体"/>
          <w:b w:val="0"/>
          <w:sz w:val="32"/>
        </w:rPr>
        <w:t>七、主要经验、存在问题和建议</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（一）主要经验</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sz w:val="32"/>
          <w:szCs w:val="32"/>
        </w:rPr>
      </w:pPr>
      <w:r>
        <w:rPr>
          <w:rFonts w:hint="eastAsia" w:ascii="仿宋_GB2312" w:hAnsi="仿宋_GB2312" w:eastAsia="仿宋_GB2312" w:cs="仿宋_GB2312"/>
          <w:sz w:val="32"/>
          <w:szCs w:val="32"/>
          <w:lang w:val="en-US" w:eastAsia="zh-CN"/>
        </w:rPr>
        <w:t>2021年，本单位</w:t>
      </w:r>
      <w:r>
        <w:rPr>
          <w:rFonts w:hint="eastAsia" w:ascii="仿宋_GB2312" w:hAnsi="仿宋_GB2312" w:eastAsia="仿宋_GB2312" w:cs="仿宋_GB2312"/>
          <w:sz w:val="32"/>
          <w:szCs w:val="32"/>
        </w:rPr>
        <w:t>在市红十字会的业务指导下，在海淀区委、区政府的正确领导下，在各理事单位的大力支持和参与下，紧紧围绕区域发展大局，不断完善发展思路，凝心聚力破解难题，扎实推进人道惠民核心业务创新。全年以党建为引领，圆满完成了“三件大事”，着力抓好“两个品牌”、主动携手“精准扶贫”；募捐救助、宣传传播、志愿服务、救援能力建设、红十字青少年等工作再创佳绩，为海淀区域发展做出了积极贡献。</w:t>
      </w:r>
      <w:r>
        <w:rPr>
          <w:rFonts w:hint="eastAsia" w:ascii="仿宋_GB2312" w:hAnsi="仿宋_GB2312" w:eastAsia="仿宋_GB2312" w:cs="仿宋_GB2312"/>
          <w:sz w:val="32"/>
          <w:szCs w:val="32"/>
          <w:lang w:val="en-US" w:eastAsia="zh-CN"/>
        </w:rPr>
        <w:t>10个项目均按照绩效目标考核要求完成自评工作，各项制度逐步完善，管理进一步规范。</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（二）存在的问题</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sz w:val="32"/>
          <w:szCs w:val="32"/>
        </w:rPr>
      </w:pPr>
      <w:r>
        <w:rPr>
          <w:rFonts w:hint="eastAsia" w:ascii="仿宋_GB2312" w:hAnsi="仿宋_GB2312" w:eastAsia="仿宋_GB2312" w:cs="仿宋_GB2312"/>
          <w:sz w:val="32"/>
          <w:szCs w:val="32"/>
        </w:rPr>
        <w:t>一是社会动员不够</w:t>
      </w:r>
      <w:r>
        <w:rPr>
          <w:rFonts w:hint="eastAsia" w:ascii="仿宋_GB2312" w:hAnsi="仿宋_GB2312" w:eastAsia="仿宋_GB2312" w:cs="仿宋_GB2312"/>
          <w:sz w:val="32"/>
          <w:szCs w:val="32"/>
          <w:lang w:eastAsia="zh-CN"/>
        </w:rPr>
        <w:t>广泛</w:t>
      </w:r>
      <w:r>
        <w:rPr>
          <w:rFonts w:hint="eastAsia" w:ascii="仿宋_GB2312" w:hAnsi="仿宋_GB2312" w:eastAsia="仿宋_GB2312" w:cs="仿宋_GB2312"/>
          <w:sz w:val="32"/>
          <w:szCs w:val="32"/>
        </w:rPr>
        <w:t>，筹资能力不</w:t>
      </w:r>
      <w:r>
        <w:rPr>
          <w:rFonts w:hint="eastAsia" w:ascii="仿宋_GB2312" w:hAnsi="仿宋_GB2312" w:eastAsia="仿宋_GB2312" w:cs="仿宋_GB2312"/>
          <w:sz w:val="32"/>
          <w:szCs w:val="32"/>
          <w:lang w:eastAsia="zh-CN"/>
        </w:rPr>
        <w:t>够</w:t>
      </w:r>
      <w:r>
        <w:rPr>
          <w:rFonts w:hint="eastAsia" w:ascii="仿宋_GB2312" w:hAnsi="仿宋_GB2312" w:eastAsia="仿宋_GB2312" w:cs="仿宋_GB2312"/>
          <w:sz w:val="32"/>
          <w:szCs w:val="32"/>
        </w:rPr>
        <w:t>强，救助实力还有待提升；二是贴近百姓、扎根基层、密切联系群众的作风不够扎实，与基层红十字会的协同联动不多，倾听基层红会、社区百姓需求还不够。三是人道惠民核心业务创新能力、管理能力还有待提升，</w:t>
      </w:r>
      <w:r>
        <w:rPr>
          <w:rFonts w:hint="eastAsia" w:ascii="仿宋_GB2312" w:hAnsi="仿宋_GB2312" w:eastAsia="仿宋_GB2312" w:cs="仿宋_GB2312"/>
          <w:sz w:val="32"/>
          <w:szCs w:val="32"/>
          <w:lang w:eastAsia="zh-CN"/>
        </w:rPr>
        <w:t>应急救护培训</w:t>
      </w:r>
      <w:r>
        <w:rPr>
          <w:rFonts w:hint="eastAsia" w:ascii="仿宋_GB2312" w:hAnsi="仿宋_GB2312" w:eastAsia="仿宋_GB2312" w:cs="仿宋_GB2312"/>
          <w:sz w:val="32"/>
          <w:szCs w:val="32"/>
        </w:rPr>
        <w:t>品牌项目影响力有待加强</w:t>
      </w:r>
      <w:r>
        <w:rPr>
          <w:rFonts w:hint="eastAsia" w:ascii="仿宋_GB2312" w:hAnsi="仿宋_GB2312" w:eastAsia="仿宋_GB2312" w:cs="仿宋_GB2312"/>
          <w:sz w:val="32"/>
          <w:szCs w:val="32"/>
          <w:lang w:eastAsia="zh-CN"/>
        </w:rPr>
        <w:t>，救助实力有待提高</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（三）后续工作计划</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保护人的生命和健康，做好应急救援、应急救护、人道救助、无偿献血、造血干细胞捐献、人体器官捐献等主要工作，打造“救在身边”工作品牌，更好地服务最易受损害人群。探索新的培训模式，强化培训过程管理和控制，提升培训工作质量。充分发挥海淀区首家应急救护培训基地，海淀公共安全馆培训基地资源优势，全方位合作，加大培训力度，提高培训质量。将基地建成宣传红十字精神的窗口、普及应急知识、互动体验的场所。加大对街镇救护员培训力度，提升辖区居民的应急救护意识和能力。加强培训师资队伍建设，逐步扩大应急救护师资队伍。加强红十字救援队、凤凰岭红十字救护站建设，提升应急救援能力和水平，为平安海淀做贡献。</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提升两个品牌，助力人道救助。围绕辖区贫困人口做好“博爱在京城”项目，</w:t>
      </w:r>
      <w:r>
        <w:rPr>
          <w:rFonts w:hint="eastAsia" w:ascii="仿宋_GB2312" w:hAnsi="仿宋_GB2312" w:eastAsia="仿宋_GB2312" w:cs="仿宋_GB2312"/>
          <w:sz w:val="32"/>
          <w:szCs w:val="32"/>
          <w:lang w:eastAsia="zh-CN"/>
        </w:rPr>
        <w:t>当好</w:t>
      </w:r>
      <w:r>
        <w:rPr>
          <w:rFonts w:hint="eastAsia" w:ascii="仿宋_GB2312" w:hAnsi="仿宋_GB2312" w:eastAsia="仿宋_GB2312" w:cs="仿宋_GB2312"/>
          <w:sz w:val="32"/>
          <w:szCs w:val="32"/>
        </w:rPr>
        <w:t>党和政府</w:t>
      </w:r>
      <w:r>
        <w:rPr>
          <w:rFonts w:hint="eastAsia" w:ascii="仿宋_GB2312" w:hAnsi="仿宋_GB2312" w:eastAsia="仿宋_GB2312" w:cs="仿宋_GB2312"/>
          <w:sz w:val="32"/>
          <w:szCs w:val="32"/>
          <w:lang w:eastAsia="zh-CN"/>
        </w:rPr>
        <w:t>联系群众的</w:t>
      </w:r>
      <w:r>
        <w:rPr>
          <w:rFonts w:hint="eastAsia" w:ascii="仿宋_GB2312" w:hAnsi="仿宋_GB2312" w:eastAsia="仿宋_GB2312" w:cs="仿宋_GB2312"/>
          <w:sz w:val="32"/>
          <w:szCs w:val="32"/>
        </w:rPr>
        <w:t>桥梁</w:t>
      </w:r>
      <w:r>
        <w:rPr>
          <w:rFonts w:hint="eastAsia" w:ascii="仿宋_GB2312" w:hAnsi="仿宋_GB2312" w:eastAsia="仿宋_GB2312" w:cs="仿宋_GB2312"/>
          <w:sz w:val="32"/>
          <w:szCs w:val="32"/>
          <w:lang w:eastAsia="zh-CN"/>
        </w:rPr>
        <w:t>和纽带</w:t>
      </w:r>
      <w:r>
        <w:rPr>
          <w:rFonts w:hint="eastAsia" w:ascii="仿宋_GB2312" w:hAnsi="仿宋_GB2312" w:eastAsia="仿宋_GB2312" w:cs="仿宋_GB2312"/>
          <w:sz w:val="32"/>
          <w:szCs w:val="32"/>
        </w:rPr>
        <w:t>，让困难群体感受到党和政府的</w:t>
      </w:r>
      <w:r>
        <w:rPr>
          <w:rFonts w:hint="eastAsia" w:ascii="仿宋_GB2312" w:hAnsi="仿宋_GB2312" w:eastAsia="仿宋_GB2312" w:cs="仿宋_GB2312"/>
          <w:sz w:val="32"/>
          <w:szCs w:val="32"/>
          <w:lang w:eastAsia="zh-CN"/>
        </w:rPr>
        <w:t>人道关怀</w:t>
      </w:r>
      <w:r>
        <w:rPr>
          <w:rFonts w:hint="eastAsia" w:ascii="仿宋_GB2312" w:hAnsi="仿宋_GB2312" w:eastAsia="仿宋_GB2312" w:cs="仿宋_GB2312"/>
          <w:sz w:val="32"/>
          <w:szCs w:val="32"/>
        </w:rPr>
        <w:t>。精心设计系列助老、助残、助幼、助困、助学等项目，惠及更多的困难群众和家庭。继续做好募捐救助信息的公开公示，使捐助者放心，增强捐助者的荣誉感、责任感。主动为属地企业做好服务，加强与企业合作，搭建平台，吸引更多的社会力量参与红十字公益事业。持续做好</w:t>
      </w:r>
      <w:r>
        <w:rPr>
          <w:rFonts w:hint="eastAsia" w:ascii="仿宋_GB2312" w:hAnsi="仿宋_GB2312" w:eastAsia="仿宋_GB2312" w:cs="仿宋_GB2312"/>
          <w:sz w:val="32"/>
          <w:szCs w:val="32"/>
          <w:lang w:eastAsia="zh-CN"/>
        </w:rPr>
        <w:t>对口支援工作</w:t>
      </w:r>
      <w:r>
        <w:rPr>
          <w:rFonts w:hint="eastAsia" w:ascii="仿宋_GB2312" w:hAnsi="仿宋_GB2312" w:eastAsia="仿宋_GB2312" w:cs="仿宋_GB2312"/>
          <w:sz w:val="32"/>
          <w:szCs w:val="32"/>
        </w:rPr>
        <w:t>，特别是“博爱助学”项目。联合派驻纪检监察组对已实施的帮扶工作开展持续监督。牢牢把握舆论宣传主动权，加强宣传策划，提升宣传工作质量，加强与媒体合作，拓展宣传渠道，讲好红十字故事、传播红十字声音，以宣传促进红十字事业更好发展。围绕重要时间节点和重要事件，策划好“</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博爱文化月等重要时间节点的新媒体和传统媒体的宣传活动，做好新闻报道和推送。发挥好互联网便捷、高效、透明功能，提升区红十字网站、微信公众号宣传质量水平。通过加大宣传传播力度，促进红十字组织影响力和公信力的不断提升。</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sz w:val="32"/>
          <w:szCs w:val="32"/>
        </w:rPr>
      </w:pPr>
      <w:r>
        <w:rPr>
          <w:rFonts w:hint="eastAsia" w:ascii="仿宋_GB2312" w:hAnsi="仿宋_GB2312" w:eastAsia="仿宋_GB2312" w:cs="仿宋_GB2312"/>
          <w:sz w:val="32"/>
          <w:szCs w:val="32"/>
        </w:rPr>
        <w:t>深入推进献血捐髓、遗体器官捐献宣传，吸引更多志愿者加入中华骨髓库、参与人体器官自愿捐献。依托区学工委，继续打造红十字青少年工作品牌，以人道传播、健康促进、志愿服务为核心，引导青少年参与人道事业。完善志愿服务工作机制，丰富志愿服务活动内容，提升志愿服务工作能力。加强友好交流，实现合作共赢</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（四）相关建议</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无。</w:t>
      </w:r>
    </w:p>
    <w:p>
      <w:pPr>
        <w:pStyle w:val="2"/>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b w:val="0"/>
          <w:sz w:val="32"/>
        </w:rPr>
      </w:pPr>
      <w:r>
        <w:rPr>
          <w:rFonts w:hint="eastAsia" w:ascii="黑体" w:hAnsi="黑体" w:eastAsia="黑体"/>
          <w:b w:val="0"/>
          <w:sz w:val="32"/>
        </w:rPr>
        <w:t>八、其他需要说明的问题</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CD"/>
    <w:rsid w:val="00004143"/>
    <w:rsid w:val="00004643"/>
    <w:rsid w:val="000138AD"/>
    <w:rsid w:val="00027321"/>
    <w:rsid w:val="00063121"/>
    <w:rsid w:val="0006472B"/>
    <w:rsid w:val="000847F4"/>
    <w:rsid w:val="000904CD"/>
    <w:rsid w:val="000A7482"/>
    <w:rsid w:val="000C044F"/>
    <w:rsid w:val="000D251D"/>
    <w:rsid w:val="000D7C34"/>
    <w:rsid w:val="000F1E6B"/>
    <w:rsid w:val="000F481D"/>
    <w:rsid w:val="00101AD1"/>
    <w:rsid w:val="001048A7"/>
    <w:rsid w:val="001065E4"/>
    <w:rsid w:val="00107D54"/>
    <w:rsid w:val="00121620"/>
    <w:rsid w:val="0012280E"/>
    <w:rsid w:val="00124719"/>
    <w:rsid w:val="00132B3D"/>
    <w:rsid w:val="00136BDD"/>
    <w:rsid w:val="00141C36"/>
    <w:rsid w:val="00157E96"/>
    <w:rsid w:val="001652D3"/>
    <w:rsid w:val="00172F72"/>
    <w:rsid w:val="0019177E"/>
    <w:rsid w:val="001A0AB3"/>
    <w:rsid w:val="001B53B9"/>
    <w:rsid w:val="001B6147"/>
    <w:rsid w:val="001C27EE"/>
    <w:rsid w:val="001C4B54"/>
    <w:rsid w:val="001C7A6E"/>
    <w:rsid w:val="001D4FF6"/>
    <w:rsid w:val="001D7543"/>
    <w:rsid w:val="001E5027"/>
    <w:rsid w:val="001F0233"/>
    <w:rsid w:val="001F16D3"/>
    <w:rsid w:val="001F1BB0"/>
    <w:rsid w:val="001F42D1"/>
    <w:rsid w:val="00202404"/>
    <w:rsid w:val="00204AF6"/>
    <w:rsid w:val="0021293D"/>
    <w:rsid w:val="0024163E"/>
    <w:rsid w:val="002421F4"/>
    <w:rsid w:val="002455CE"/>
    <w:rsid w:val="00250BEE"/>
    <w:rsid w:val="00251218"/>
    <w:rsid w:val="00255E4D"/>
    <w:rsid w:val="002563BB"/>
    <w:rsid w:val="002567DD"/>
    <w:rsid w:val="002723B4"/>
    <w:rsid w:val="002770FE"/>
    <w:rsid w:val="00286B71"/>
    <w:rsid w:val="0029002A"/>
    <w:rsid w:val="002901D1"/>
    <w:rsid w:val="00293971"/>
    <w:rsid w:val="002A0BBE"/>
    <w:rsid w:val="002B4F8E"/>
    <w:rsid w:val="002C1490"/>
    <w:rsid w:val="002C4284"/>
    <w:rsid w:val="002D2C6A"/>
    <w:rsid w:val="002E5234"/>
    <w:rsid w:val="002F182C"/>
    <w:rsid w:val="002F2752"/>
    <w:rsid w:val="002F5B53"/>
    <w:rsid w:val="002F5F52"/>
    <w:rsid w:val="002F7137"/>
    <w:rsid w:val="00307E9C"/>
    <w:rsid w:val="00310CAF"/>
    <w:rsid w:val="00316A0D"/>
    <w:rsid w:val="00323CF9"/>
    <w:rsid w:val="00327E63"/>
    <w:rsid w:val="00336795"/>
    <w:rsid w:val="003375D7"/>
    <w:rsid w:val="003403B0"/>
    <w:rsid w:val="00341C77"/>
    <w:rsid w:val="0034301F"/>
    <w:rsid w:val="003545BA"/>
    <w:rsid w:val="0036456A"/>
    <w:rsid w:val="0036570D"/>
    <w:rsid w:val="00391159"/>
    <w:rsid w:val="00394120"/>
    <w:rsid w:val="00396841"/>
    <w:rsid w:val="003A11CE"/>
    <w:rsid w:val="003A2882"/>
    <w:rsid w:val="003C62E5"/>
    <w:rsid w:val="003F28ED"/>
    <w:rsid w:val="003F2E94"/>
    <w:rsid w:val="00412BA0"/>
    <w:rsid w:val="00441C42"/>
    <w:rsid w:val="00447816"/>
    <w:rsid w:val="004514BC"/>
    <w:rsid w:val="00456241"/>
    <w:rsid w:val="00466F79"/>
    <w:rsid w:val="00477A2A"/>
    <w:rsid w:val="00487694"/>
    <w:rsid w:val="004A26A7"/>
    <w:rsid w:val="004B4820"/>
    <w:rsid w:val="004F0719"/>
    <w:rsid w:val="005029A9"/>
    <w:rsid w:val="005042D5"/>
    <w:rsid w:val="00505A28"/>
    <w:rsid w:val="00507942"/>
    <w:rsid w:val="00513535"/>
    <w:rsid w:val="005263D1"/>
    <w:rsid w:val="00531ABA"/>
    <w:rsid w:val="00545035"/>
    <w:rsid w:val="00547946"/>
    <w:rsid w:val="00552DCA"/>
    <w:rsid w:val="00562917"/>
    <w:rsid w:val="00566EC4"/>
    <w:rsid w:val="00570961"/>
    <w:rsid w:val="005778F7"/>
    <w:rsid w:val="00584B77"/>
    <w:rsid w:val="005906BF"/>
    <w:rsid w:val="00592E79"/>
    <w:rsid w:val="005B43D6"/>
    <w:rsid w:val="005B4822"/>
    <w:rsid w:val="005E3029"/>
    <w:rsid w:val="005E6682"/>
    <w:rsid w:val="005E7D71"/>
    <w:rsid w:val="005F43F0"/>
    <w:rsid w:val="005F75B0"/>
    <w:rsid w:val="006033F4"/>
    <w:rsid w:val="00620CD1"/>
    <w:rsid w:val="00626B6B"/>
    <w:rsid w:val="00627002"/>
    <w:rsid w:val="0067700B"/>
    <w:rsid w:val="00684398"/>
    <w:rsid w:val="006913F1"/>
    <w:rsid w:val="006A26F7"/>
    <w:rsid w:val="006B5347"/>
    <w:rsid w:val="006C12CD"/>
    <w:rsid w:val="006C3344"/>
    <w:rsid w:val="006C3C96"/>
    <w:rsid w:val="006C745D"/>
    <w:rsid w:val="006E4FA9"/>
    <w:rsid w:val="006F0CE9"/>
    <w:rsid w:val="006F4E22"/>
    <w:rsid w:val="007029D2"/>
    <w:rsid w:val="00704F45"/>
    <w:rsid w:val="0072679E"/>
    <w:rsid w:val="00734CC9"/>
    <w:rsid w:val="007430E1"/>
    <w:rsid w:val="00763228"/>
    <w:rsid w:val="00767A62"/>
    <w:rsid w:val="00780A68"/>
    <w:rsid w:val="007839AE"/>
    <w:rsid w:val="00797FE1"/>
    <w:rsid w:val="007A7C55"/>
    <w:rsid w:val="007B3421"/>
    <w:rsid w:val="007B3B1B"/>
    <w:rsid w:val="007B7B8E"/>
    <w:rsid w:val="007D1801"/>
    <w:rsid w:val="007F1A2F"/>
    <w:rsid w:val="007F20B6"/>
    <w:rsid w:val="007F53AF"/>
    <w:rsid w:val="007F78BA"/>
    <w:rsid w:val="007F7B86"/>
    <w:rsid w:val="00801819"/>
    <w:rsid w:val="008022D8"/>
    <w:rsid w:val="008060B8"/>
    <w:rsid w:val="00810ECF"/>
    <w:rsid w:val="00820B5F"/>
    <w:rsid w:val="008215C5"/>
    <w:rsid w:val="008224B2"/>
    <w:rsid w:val="00827737"/>
    <w:rsid w:val="00835671"/>
    <w:rsid w:val="00841337"/>
    <w:rsid w:val="008419BE"/>
    <w:rsid w:val="0085287A"/>
    <w:rsid w:val="00855F88"/>
    <w:rsid w:val="00871A87"/>
    <w:rsid w:val="00883EEA"/>
    <w:rsid w:val="00884FF1"/>
    <w:rsid w:val="00886AA7"/>
    <w:rsid w:val="0088761C"/>
    <w:rsid w:val="00890BF0"/>
    <w:rsid w:val="00890F52"/>
    <w:rsid w:val="008A70C6"/>
    <w:rsid w:val="008B1261"/>
    <w:rsid w:val="008B234F"/>
    <w:rsid w:val="008B662F"/>
    <w:rsid w:val="008D1594"/>
    <w:rsid w:val="008D33A4"/>
    <w:rsid w:val="008D35F7"/>
    <w:rsid w:val="008E1883"/>
    <w:rsid w:val="008E54FD"/>
    <w:rsid w:val="008F36A5"/>
    <w:rsid w:val="008F636E"/>
    <w:rsid w:val="008F7975"/>
    <w:rsid w:val="00905346"/>
    <w:rsid w:val="0090713F"/>
    <w:rsid w:val="00930F68"/>
    <w:rsid w:val="00931334"/>
    <w:rsid w:val="00943A8B"/>
    <w:rsid w:val="009509DF"/>
    <w:rsid w:val="00957ED4"/>
    <w:rsid w:val="00960B42"/>
    <w:rsid w:val="00963055"/>
    <w:rsid w:val="0096771B"/>
    <w:rsid w:val="00967E93"/>
    <w:rsid w:val="0097150B"/>
    <w:rsid w:val="00976682"/>
    <w:rsid w:val="00996A78"/>
    <w:rsid w:val="009A0595"/>
    <w:rsid w:val="009C1235"/>
    <w:rsid w:val="009D271F"/>
    <w:rsid w:val="009D5040"/>
    <w:rsid w:val="009E1F27"/>
    <w:rsid w:val="009E4FAF"/>
    <w:rsid w:val="009F304D"/>
    <w:rsid w:val="009F738B"/>
    <w:rsid w:val="00A01AE7"/>
    <w:rsid w:val="00A07FB5"/>
    <w:rsid w:val="00A22649"/>
    <w:rsid w:val="00A31CEB"/>
    <w:rsid w:val="00A36DD9"/>
    <w:rsid w:val="00A43254"/>
    <w:rsid w:val="00A46DA0"/>
    <w:rsid w:val="00A50A56"/>
    <w:rsid w:val="00A662D0"/>
    <w:rsid w:val="00A73177"/>
    <w:rsid w:val="00A74B9B"/>
    <w:rsid w:val="00A86C81"/>
    <w:rsid w:val="00A9279B"/>
    <w:rsid w:val="00A969BF"/>
    <w:rsid w:val="00AA5F6B"/>
    <w:rsid w:val="00AC0441"/>
    <w:rsid w:val="00AE4EC9"/>
    <w:rsid w:val="00B02714"/>
    <w:rsid w:val="00B23083"/>
    <w:rsid w:val="00B40EDD"/>
    <w:rsid w:val="00B579EB"/>
    <w:rsid w:val="00B6178D"/>
    <w:rsid w:val="00B674D6"/>
    <w:rsid w:val="00B8127F"/>
    <w:rsid w:val="00B93870"/>
    <w:rsid w:val="00BA3CD1"/>
    <w:rsid w:val="00BB1D54"/>
    <w:rsid w:val="00BB6C44"/>
    <w:rsid w:val="00BD7717"/>
    <w:rsid w:val="00BE0E09"/>
    <w:rsid w:val="00BE485D"/>
    <w:rsid w:val="00C16169"/>
    <w:rsid w:val="00C2090F"/>
    <w:rsid w:val="00C30C8E"/>
    <w:rsid w:val="00C4182B"/>
    <w:rsid w:val="00C47BB0"/>
    <w:rsid w:val="00C52D70"/>
    <w:rsid w:val="00C5459F"/>
    <w:rsid w:val="00C720AF"/>
    <w:rsid w:val="00C76880"/>
    <w:rsid w:val="00C77F08"/>
    <w:rsid w:val="00C80B21"/>
    <w:rsid w:val="00C9245F"/>
    <w:rsid w:val="00C93C9B"/>
    <w:rsid w:val="00C949EC"/>
    <w:rsid w:val="00CA1490"/>
    <w:rsid w:val="00CE2DC3"/>
    <w:rsid w:val="00CF5F33"/>
    <w:rsid w:val="00D04011"/>
    <w:rsid w:val="00D12E09"/>
    <w:rsid w:val="00D34D79"/>
    <w:rsid w:val="00D51357"/>
    <w:rsid w:val="00D539AF"/>
    <w:rsid w:val="00D60181"/>
    <w:rsid w:val="00D75380"/>
    <w:rsid w:val="00D82CF4"/>
    <w:rsid w:val="00D95A76"/>
    <w:rsid w:val="00DA2898"/>
    <w:rsid w:val="00DA544D"/>
    <w:rsid w:val="00DC0454"/>
    <w:rsid w:val="00DC5A9F"/>
    <w:rsid w:val="00DD210A"/>
    <w:rsid w:val="00DE0C6B"/>
    <w:rsid w:val="00DE2FDA"/>
    <w:rsid w:val="00DE65A9"/>
    <w:rsid w:val="00E05EED"/>
    <w:rsid w:val="00E104E3"/>
    <w:rsid w:val="00E12466"/>
    <w:rsid w:val="00E16DFF"/>
    <w:rsid w:val="00E30C29"/>
    <w:rsid w:val="00E32408"/>
    <w:rsid w:val="00E3461B"/>
    <w:rsid w:val="00E43C48"/>
    <w:rsid w:val="00E648F9"/>
    <w:rsid w:val="00E65332"/>
    <w:rsid w:val="00E670DD"/>
    <w:rsid w:val="00E86393"/>
    <w:rsid w:val="00E9195E"/>
    <w:rsid w:val="00EA2666"/>
    <w:rsid w:val="00EB779A"/>
    <w:rsid w:val="00ED316C"/>
    <w:rsid w:val="00EE076A"/>
    <w:rsid w:val="00EF04A7"/>
    <w:rsid w:val="00EF4E23"/>
    <w:rsid w:val="00F15667"/>
    <w:rsid w:val="00F1789D"/>
    <w:rsid w:val="00F23193"/>
    <w:rsid w:val="00F369EE"/>
    <w:rsid w:val="00F47F90"/>
    <w:rsid w:val="00F55D28"/>
    <w:rsid w:val="00F62609"/>
    <w:rsid w:val="00F8037A"/>
    <w:rsid w:val="00F943EE"/>
    <w:rsid w:val="00F9661B"/>
    <w:rsid w:val="00FA654A"/>
    <w:rsid w:val="00FB0568"/>
    <w:rsid w:val="00FB3267"/>
    <w:rsid w:val="00FC568D"/>
    <w:rsid w:val="00FF08A1"/>
    <w:rsid w:val="15B6F5F7"/>
    <w:rsid w:val="17B91346"/>
    <w:rsid w:val="1FEF0505"/>
    <w:rsid w:val="1FFD3108"/>
    <w:rsid w:val="377E03B3"/>
    <w:rsid w:val="40DF7658"/>
    <w:rsid w:val="56EB61C7"/>
    <w:rsid w:val="59FD9B4B"/>
    <w:rsid w:val="67F1EEE7"/>
    <w:rsid w:val="76ECC5DC"/>
    <w:rsid w:val="76F7BDA2"/>
    <w:rsid w:val="77EFA775"/>
    <w:rsid w:val="77FFC8E1"/>
    <w:rsid w:val="7ABF5897"/>
    <w:rsid w:val="7AF795C8"/>
    <w:rsid w:val="7B5FEC65"/>
    <w:rsid w:val="7BB6F37C"/>
    <w:rsid w:val="7D719F12"/>
    <w:rsid w:val="7DFB0224"/>
    <w:rsid w:val="7E7B0FD0"/>
    <w:rsid w:val="7EBDC8D5"/>
    <w:rsid w:val="7EDEBFE1"/>
    <w:rsid w:val="7EFFDD49"/>
    <w:rsid w:val="7F3FC977"/>
    <w:rsid w:val="7F435D6D"/>
    <w:rsid w:val="7F6DA700"/>
    <w:rsid w:val="7F79A02F"/>
    <w:rsid w:val="7FFE5889"/>
    <w:rsid w:val="8F1BC641"/>
    <w:rsid w:val="9E17C69E"/>
    <w:rsid w:val="9F5FB928"/>
    <w:rsid w:val="AFB4E400"/>
    <w:rsid w:val="B77ABFE0"/>
    <w:rsid w:val="BC7FBC10"/>
    <w:rsid w:val="BE76D973"/>
    <w:rsid w:val="BFED4073"/>
    <w:rsid w:val="BFFFBEA5"/>
    <w:rsid w:val="C25B2DDD"/>
    <w:rsid w:val="D345743B"/>
    <w:rsid w:val="D5FD0906"/>
    <w:rsid w:val="D68F3464"/>
    <w:rsid w:val="DEFF9CC5"/>
    <w:rsid w:val="DFDC0619"/>
    <w:rsid w:val="ECBF9D5C"/>
    <w:rsid w:val="EDFE1028"/>
    <w:rsid w:val="F7CF9252"/>
    <w:rsid w:val="FA7A6895"/>
    <w:rsid w:val="FB7F7AB3"/>
    <w:rsid w:val="FDB760EE"/>
    <w:rsid w:val="FDF612C4"/>
    <w:rsid w:val="FFBF0C5C"/>
    <w:rsid w:val="FFCC78EF"/>
    <w:rsid w:val="FFDE9F5C"/>
    <w:rsid w:val="FFEF9A04"/>
    <w:rsid w:val="FFF6D78B"/>
    <w:rsid w:val="FFFF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2"/>
    <w:basedOn w:val="1"/>
    <w:next w:val="1"/>
    <w:link w:val="12"/>
    <w:qFormat/>
    <w:uiPriority w:val="0"/>
    <w:pPr>
      <w:keepNext/>
      <w:keepLines/>
      <w:ind w:firstLine="0" w:firstLineChars="0"/>
      <w:jc w:val="center"/>
      <w:outlineLvl w:val="1"/>
    </w:pPr>
    <w:rPr>
      <w:rFonts w:ascii="Cambria" w:hAnsi="Cambria"/>
      <w:b/>
      <w:bCs/>
      <w:sz w:val="36"/>
      <w:szCs w:val="32"/>
    </w:rPr>
  </w:style>
  <w:style w:type="paragraph" w:styleId="3">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footnote text"/>
    <w:basedOn w:val="1"/>
    <w:link w:val="17"/>
    <w:semiHidden/>
    <w:unhideWhenUsed/>
    <w:qFormat/>
    <w:uiPriority w:val="99"/>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character" w:styleId="11">
    <w:name w:val="footnote reference"/>
    <w:basedOn w:val="10"/>
    <w:semiHidden/>
    <w:unhideWhenUsed/>
    <w:qFormat/>
    <w:uiPriority w:val="99"/>
    <w:rPr>
      <w:vertAlign w:val="superscript"/>
    </w:rPr>
  </w:style>
  <w:style w:type="character" w:customStyle="1" w:styleId="12">
    <w:name w:val="标题 2 Char"/>
    <w:basedOn w:val="10"/>
    <w:link w:val="2"/>
    <w:qFormat/>
    <w:uiPriority w:val="0"/>
    <w:rPr>
      <w:rFonts w:ascii="Cambria" w:hAnsi="Cambria" w:eastAsia="宋体" w:cs="Times New Roman"/>
      <w:b/>
      <w:bCs/>
      <w:sz w:val="36"/>
      <w:szCs w:val="32"/>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标题 3 Char"/>
    <w:basedOn w:val="10"/>
    <w:link w:val="3"/>
    <w:qFormat/>
    <w:uiPriority w:val="9"/>
    <w:rPr>
      <w:rFonts w:ascii="Times New Roman" w:hAnsi="Times New Roman" w:eastAsia="宋体" w:cs="Times New Roman"/>
      <w:b/>
      <w:bCs/>
      <w:sz w:val="32"/>
      <w:szCs w:val="32"/>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脚注文本 Char"/>
    <w:basedOn w:val="10"/>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Words>
  <Characters>384</Characters>
  <Lines>3</Lines>
  <Paragraphs>1</Paragraphs>
  <TotalTime>28</TotalTime>
  <ScaleCrop>false</ScaleCrop>
  <LinksUpToDate>false</LinksUpToDate>
  <CharactersWithSpaces>450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2019-09-29T09:10:00Z</dcterms:created>
  <dc:creator>刘宁凤</dc:creator>
  <cp:lastModifiedBy>user</cp:lastModifiedBy>
  <cp:lastPrinted>2022-07-13T15:04:00Z</cp:lastPrinted>
  <dcterms:modified xsi:type="dcterms:W3CDTF">2022-08-26T14:17:43Z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